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B5AA" w14:textId="77777777" w:rsidR="00D16F99" w:rsidRPr="00F72490" w:rsidRDefault="00D16F99" w:rsidP="00D16F9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  <w:r w:rsidRPr="00F72490">
        <w:rPr>
          <w:rFonts w:ascii="Arial" w:hAnsi="Arial" w:cs="Arial"/>
          <w:b/>
          <w:bCs/>
          <w:sz w:val="24"/>
          <w:szCs w:val="24"/>
        </w:rPr>
        <w:t>Reunião Ordinária do Comitê de Investimentos.</w:t>
      </w:r>
    </w:p>
    <w:p w14:paraId="251B31B9" w14:textId="138A94DF" w:rsidR="008B0983" w:rsidRPr="00D16F99" w:rsidRDefault="00D16F99" w:rsidP="00D16F99">
      <w:pPr>
        <w:spacing w:after="160" w:line="259" w:lineRule="auto"/>
        <w:jc w:val="both"/>
        <w:rPr>
          <w:rFonts w:ascii="Arial" w:hAnsi="Arial" w:cs="Arial"/>
        </w:rPr>
      </w:pPr>
      <w:r w:rsidRPr="00D16F99">
        <w:rPr>
          <w:rFonts w:ascii="Arial" w:hAnsi="Arial" w:cs="Arial"/>
        </w:rPr>
        <w:t xml:space="preserve">Aos vinte e seis dias (26) do mês de janeiro de dois mil e vinte e seis, às treze horas, reuniu-se, na sede do Instituto de Previdência dos Servidores Públicos do Município de Guanhães, GuanhãesPrev, situada na Rua Monsenhor Pinheiro, nº 101, Centro, Guanhães/MG, o Comitê de Investimentos, com a presença de Cláudia Aparecida Monteiro dos Santos, Daniel Fernando da Silva, Francielle Elgita de Oliveira Costa, Humberto Salvador Ferreira Lopes e Rosimery Aparecida Inácio de Pinho Procópio, além da participação remota de Rodolpho Malafaia, representante da Lema Assessoria de Investimentos. Francielle abriu </w:t>
      </w:r>
      <w:r w:rsidRPr="00F45F1A">
        <w:rPr>
          <w:rFonts w:ascii="Arial" w:hAnsi="Arial" w:cs="Arial"/>
        </w:rPr>
        <w:t xml:space="preserve">a reunião, cumprimentando os presentes, e informou que a pauta seria destinada à análise do cenário econômico, ao posicionamento da carteira de investimentos, às perspectivas para o exercício de 2026, à Resolução CMN nº 5.272/2025, bem como ao fechamento do mês de dezembro de 2025. Em seguida, passou a palavra ao </w:t>
      </w:r>
      <w:r w:rsidRPr="00D16F99">
        <w:rPr>
          <w:rFonts w:ascii="Arial" w:hAnsi="Arial" w:cs="Arial"/>
        </w:rPr>
        <w:t xml:space="preserve">Rodolpho que </w:t>
      </w:r>
      <w:r w:rsidRPr="00F45F1A">
        <w:rPr>
          <w:rFonts w:ascii="Arial" w:hAnsi="Arial" w:cs="Arial"/>
        </w:rPr>
        <w:t>iniciou a apresentação pelo cenário internacional, destacando ambiente ainda marcado por incertezas, especialmente nos Estados Unidos, onde o índice de preços ao consumidor (CPI) encerrou o período em 2,7% ao ano, com variação mensal de 0,30%, enquanto a produção industrial apresentou oscilação no período, registrando variação anual de 1,99%. As probabilidades implícitas no CME indicavam manutenção da taxa de juros pelo Federal Reserve na faixa entre 3,75% e 4,00%, reforçando a perspectiva de política monetária ainda restritiva.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Na Zona do Euro, a produção industrial registrou variação anual de 2,5%, acompanhada de superávit comercial relevante. A China, por sua vez, manteve crescimento próximo de 5% em 2025, embora com elevação expressiva da relação dívida/PIB, aproximando-se de 89%, o que sinaliza riscos estruturais no médio prazo.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No mercado internacional e cambial, observou-se valorização do dólar frente ao real no período, com o USD/BRL acumulando alta de 2,20% no mês, mesmo diante do recuo de 0,84% do índice DXY, refletindo fluxo ainda seletivo para economias emergentes.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No cenário doméstico, os dados de atividade indicaram desempenho moderado, com o IBC-Br registrando variação positiva de 0,70% no mês mais recente. O Fundo Monetário Internacional (FMI) revisou a projeção de crescimento do PIB brasileiro para 1,6% em 2026, reforçando expectativa de desaceleração econômica. Adicionalmente, o Tesouro Nacional revisou para cima as projeções da dívida pública, apontando trajetória de elevação até 2032, mantendo pressão estrutural sobre a curva de juros doméstica.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No campo dos investimentos, a lâmina de rentabilidades do mês evidenciou maior volatilidade nos ativos de renda fixa de maior duration. O CDI registrou 0,61% no período, enquanto os principais índices apresentaram comportamento heterogêneo: IMA-B (+0,59%), IMA-B 5 (+0,39%), IMA-B 5+ (-0,73%), IRF-M (+0,45%), IRF-M 1 (+0,17%) e IRF-M 1+ (-1,44%). O movimento demonstrou abertura na parte longa da curva de juros, impactando negativamente os ativos mais sensíveis à marcação a mercado, ao passo que os vértices curtos permaneceram relativamente mais estáveis.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Para o RPPS de Guanhães, cuja estratégia permanece concentrada em renda fixa doméstica com necessidade recorrente de liquidez, o cenário reforça a importância de priorização de ativos de menor duration e maior previsibilidade de retorno, aproveitando o patamar elevado da taxa básica como principal fonte de rentabilidade, com manutenção do equilíbrio entre segurança, liquidez e aderência à meta atuarial.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 xml:space="preserve">A curva de juros apresentada indicou manutenção de taxas elevadas ao longo dos vértices até 2030 e prazos superiores, refletindo prêmio relevante na estrutura a termo. Tal contexto favorece estratégias defensivas, com ênfase em ativos pós-fixados atrelados ao CDI e títulos indexados ao IPCA com duration intermediária, mitigando a volatilidade decorrente da marcação a mercado observada nos papéis de prazos mais longos. Para um RPPS com necessidade de liquidez de curto prazo, a priorização de fundos DI, IMA-B de menor prazo e IRF-M 1 tende a proporcionar melhor </w:t>
      </w:r>
      <w:r w:rsidRPr="00F45F1A">
        <w:rPr>
          <w:rFonts w:ascii="Arial" w:hAnsi="Arial" w:cs="Arial"/>
        </w:rPr>
        <w:lastRenderedPageBreak/>
        <w:t>equilíbrio entre rentabilidade e estabilidade patrimonial.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Dessa forma, o cenário reforça postura técnica cautelosa na alocação em renda fixa, privilegiando ativos com menor sensibilidade às oscilações da curva de juros e aproveitando o elevado nível de juros reais como principal vetor de retorno. A estratégia deve permanecer alinhada ao fluxo atuarial e às obrigações de curto prazo, buscando capturar o prêmio da taxa básica sem ampliar excessivamente o risco de duration, preservando liquidez e previsibilidade na formação do resultado do plano.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Na sequência, Francielle apresentou o Relatório de Investimentos, o qual foi analisado e aprovado pelo Comitê. Informou que a carteira do GuanhãesPrev encontra-se segregada entre os segmentos de renda fixa (99,45%) e fundo imobiliário (0,55%), observando os limites estabelecidos pela Resolução CMN nº 4.963/2021, que autoriza alocação de até 35% em renda variável para RPPS detentores da Certificação Institucional Pró-Gestão Nível III, certificação conquistada pelo Instituto em 21 de julho de 2025.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Foi constatada a inexistência de desenquadramentos nos segmentos de renda fixa e fundo imobiliário, bem como verificado que 80,61% dos recursos apresentam liquidez inferior a trinta dias, distribuídos em 12 fundos de investimento.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À luz do cenário econômico apresentado e do posicionamento atual da carteira do GUANHÃES PREV, observou-se que, no mês de dezembro, houve redução patrimonial em decorrência de resgates destinados ao pagamento da folha de aposentados e pensionistas, tendo a carteira registrado rentabilidade de 1,05% no período. O Índice Nacional de Preços ao Consumidor Amplo (IPCA) apurou variação de 0,33% no mês de dezembro. Em razão do desempenho do IPCA, a meta atuarial do período foi de 0,76%, mantendo-se a carteira em conformidade com o cenário econômico e com a estratégia adotada.</w:t>
      </w:r>
      <w:r w:rsidRPr="00D16F99">
        <w:rPr>
          <w:rFonts w:ascii="Arial" w:hAnsi="Arial" w:cs="Arial"/>
        </w:rPr>
        <w:t xml:space="preserve"> </w:t>
      </w:r>
      <w:r w:rsidRPr="00F45F1A">
        <w:rPr>
          <w:rFonts w:ascii="Arial" w:hAnsi="Arial" w:cs="Arial"/>
        </w:rPr>
        <w:t>O Comitê analisou e atestou a conformidade do Relatório de Investimentos quanto à rentabilidade, aos riscos e à aderência à Política de Investimentos vigente.</w:t>
      </w:r>
      <w:r w:rsidRPr="00D16F99">
        <w:rPr>
          <w:rFonts w:ascii="Arial" w:hAnsi="Arial" w:cs="Arial"/>
        </w:rPr>
        <w:t xml:space="preserve"> </w:t>
      </w:r>
      <w:r w:rsidR="00C31F2F" w:rsidRPr="00D16F99">
        <w:rPr>
          <w:rFonts w:ascii="Arial" w:hAnsi="Arial" w:cs="Arial"/>
        </w:rPr>
        <w:t>Após</w:t>
      </w:r>
      <w:r w:rsidR="00425D76" w:rsidRPr="00D16F99">
        <w:rPr>
          <w:rFonts w:ascii="Arial" w:hAnsi="Arial" w:cs="Arial"/>
        </w:rPr>
        <w:t xml:space="preserve"> </w:t>
      </w:r>
      <w:r w:rsidR="00C31F2F" w:rsidRPr="00D16F99">
        <w:rPr>
          <w:rFonts w:ascii="Arial" w:hAnsi="Arial" w:cs="Arial"/>
        </w:rPr>
        <w:t>as manifestações finais dos participantes e n</w:t>
      </w:r>
      <w:r w:rsidR="008B0983" w:rsidRPr="00D16F99">
        <w:rPr>
          <w:rFonts w:ascii="Arial" w:hAnsi="Arial" w:cs="Arial"/>
        </w:rPr>
        <w:t xml:space="preserve">ada mais havendo a tratar, </w:t>
      </w:r>
      <w:r w:rsidR="003E3962" w:rsidRPr="00D16F99">
        <w:rPr>
          <w:rFonts w:ascii="Arial" w:hAnsi="Arial" w:cs="Arial"/>
        </w:rPr>
        <w:t>a presidente</w:t>
      </w:r>
      <w:r w:rsidR="003E3962" w:rsidRPr="00D16F99">
        <w:rPr>
          <w:rFonts w:ascii="Arial" w:hAnsi="Arial" w:cs="Arial"/>
        </w:rPr>
        <w:t xml:space="preserve">, </w:t>
      </w:r>
      <w:r w:rsidR="003E3962" w:rsidRPr="00D16F99">
        <w:rPr>
          <w:rFonts w:ascii="Arial" w:hAnsi="Arial" w:cs="Arial"/>
        </w:rPr>
        <w:t xml:space="preserve">Francielle Elgita de Oliveira Costa encerrou a reunião, agradecendo a participação de todos. Eu, Rosimery Aparecida Inácio de Pinho Procópio, _________________, Secretária do Comitê de Investimentos, lavrei a presente ata, que, lida e aprovada, será assinada por mim e pelos demais membros presentes. </w:t>
      </w:r>
      <w:r w:rsidR="008B0983" w:rsidRPr="00D16F99">
        <w:rPr>
          <w:rFonts w:ascii="Arial" w:hAnsi="Arial" w:cs="Arial"/>
        </w:rPr>
        <w:t xml:space="preserve">Guanhães, </w:t>
      </w:r>
      <w:r w:rsidR="00076369" w:rsidRPr="00D16F99">
        <w:rPr>
          <w:rFonts w:ascii="Arial" w:hAnsi="Arial" w:cs="Arial"/>
        </w:rPr>
        <w:t>26 de janeiro de 2026</w:t>
      </w:r>
      <w:r w:rsidR="008B0983" w:rsidRPr="00D16F99">
        <w:rPr>
          <w:rFonts w:ascii="Arial" w:hAnsi="Arial" w:cs="Arial"/>
        </w:rPr>
        <w:t>.</w:t>
      </w:r>
    </w:p>
    <w:p w14:paraId="1F4F42E7" w14:textId="77777777" w:rsidR="008B0983" w:rsidRPr="00D16F99" w:rsidRDefault="008B0983" w:rsidP="003E3962">
      <w:pPr>
        <w:spacing w:line="240" w:lineRule="auto"/>
      </w:pPr>
    </w:p>
    <w:p w14:paraId="52BD6BA7" w14:textId="77777777" w:rsidR="00D33890" w:rsidRPr="00D16F99" w:rsidRDefault="00D33890" w:rsidP="003E3962">
      <w:pPr>
        <w:pStyle w:val="SemEspaamento"/>
        <w:rPr>
          <w:rFonts w:ascii="Arial" w:hAnsi="Arial" w:cs="Arial"/>
          <w:lang w:val="pt-BR"/>
        </w:rPr>
      </w:pPr>
    </w:p>
    <w:p w14:paraId="7BC79505" w14:textId="54DCE5A1" w:rsidR="00076369" w:rsidRPr="00D16F99" w:rsidRDefault="00545113" w:rsidP="003E3962">
      <w:pPr>
        <w:pStyle w:val="SemEspaamento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 xml:space="preserve">  </w:t>
      </w:r>
      <w:r w:rsidR="00F72490">
        <w:rPr>
          <w:rFonts w:ascii="Arial" w:hAnsi="Arial" w:cs="Arial"/>
          <w:lang w:val="pt-BR"/>
        </w:rPr>
        <w:t xml:space="preserve"> </w:t>
      </w:r>
      <w:r w:rsidRPr="00D16F99">
        <w:rPr>
          <w:rFonts w:ascii="Arial" w:hAnsi="Arial" w:cs="Arial"/>
          <w:lang w:val="pt-BR"/>
        </w:rPr>
        <w:t xml:space="preserve"> </w:t>
      </w:r>
      <w:r w:rsidR="00076369" w:rsidRPr="00D16F99">
        <w:rPr>
          <w:rFonts w:ascii="Arial" w:hAnsi="Arial" w:cs="Arial"/>
          <w:lang w:val="pt-BR"/>
        </w:rPr>
        <w:t xml:space="preserve">Francielle Elgita de Oliveira Costa          </w:t>
      </w:r>
      <w:r w:rsidR="00F72490">
        <w:rPr>
          <w:rFonts w:ascii="Arial" w:hAnsi="Arial" w:cs="Arial"/>
          <w:lang w:val="pt-BR"/>
        </w:rPr>
        <w:t xml:space="preserve">               </w:t>
      </w:r>
      <w:r w:rsidR="00076369" w:rsidRPr="00D16F99">
        <w:rPr>
          <w:rFonts w:ascii="Arial" w:hAnsi="Arial" w:cs="Arial"/>
          <w:lang w:val="pt-BR"/>
        </w:rPr>
        <w:t xml:space="preserve"> Rosimery Ap. Inácio de Pinho Procópio  </w:t>
      </w:r>
    </w:p>
    <w:p w14:paraId="32ACD735" w14:textId="396225EF" w:rsidR="00076369" w:rsidRPr="00D16F99" w:rsidRDefault="00076369" w:rsidP="003E3962">
      <w:pPr>
        <w:pStyle w:val="SemEspaamento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>Presidente do Comitê/Gestor Recursos</w:t>
      </w:r>
      <w:r w:rsidRPr="00D16F99">
        <w:rPr>
          <w:rFonts w:ascii="Arial" w:hAnsi="Arial" w:cs="Arial"/>
          <w:lang w:val="pt-BR"/>
        </w:rPr>
        <w:tab/>
        <w:t xml:space="preserve">                      </w:t>
      </w:r>
      <w:r w:rsidR="00F72490">
        <w:rPr>
          <w:rFonts w:ascii="Arial" w:hAnsi="Arial" w:cs="Arial"/>
          <w:lang w:val="pt-BR"/>
        </w:rPr>
        <w:t xml:space="preserve">            </w:t>
      </w:r>
      <w:r w:rsidRPr="00D16F99">
        <w:rPr>
          <w:rFonts w:ascii="Arial" w:hAnsi="Arial" w:cs="Arial"/>
          <w:lang w:val="pt-BR"/>
        </w:rPr>
        <w:t xml:space="preserve">      Secretária</w:t>
      </w:r>
    </w:p>
    <w:p w14:paraId="2BC8D682" w14:textId="77777777" w:rsidR="00076369" w:rsidRPr="00D16F99" w:rsidRDefault="00076369" w:rsidP="003E3962">
      <w:pPr>
        <w:pStyle w:val="SemEspaamento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 xml:space="preserve"> </w:t>
      </w:r>
    </w:p>
    <w:p w14:paraId="52DA134A" w14:textId="77777777" w:rsidR="00076369" w:rsidRPr="00D16F99" w:rsidRDefault="00076369" w:rsidP="003E3962">
      <w:pPr>
        <w:pStyle w:val="SemEspaamento"/>
        <w:rPr>
          <w:rFonts w:ascii="Arial" w:hAnsi="Arial" w:cs="Arial"/>
          <w:lang w:val="pt-BR"/>
        </w:rPr>
      </w:pPr>
    </w:p>
    <w:p w14:paraId="1322E476" w14:textId="77777777" w:rsidR="00076369" w:rsidRPr="00D16F99" w:rsidRDefault="00076369" w:rsidP="003E3962">
      <w:pPr>
        <w:pStyle w:val="SemEspaamento"/>
        <w:jc w:val="center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 xml:space="preserve"> </w:t>
      </w:r>
    </w:p>
    <w:p w14:paraId="3CA34FE5" w14:textId="64D8445A" w:rsidR="00076369" w:rsidRPr="00D16F99" w:rsidRDefault="00076369" w:rsidP="003E3962">
      <w:pPr>
        <w:pStyle w:val="SemEspaamento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 xml:space="preserve">Cláudia Ap. Monteiro dos Santos                                  </w:t>
      </w:r>
      <w:r w:rsidR="00F72490">
        <w:rPr>
          <w:rFonts w:ascii="Arial" w:hAnsi="Arial" w:cs="Arial"/>
          <w:lang w:val="pt-BR"/>
        </w:rPr>
        <w:t xml:space="preserve"> </w:t>
      </w:r>
      <w:r w:rsidRPr="00D16F99">
        <w:rPr>
          <w:rFonts w:ascii="Arial" w:hAnsi="Arial" w:cs="Arial"/>
          <w:lang w:val="pt-BR"/>
        </w:rPr>
        <w:t xml:space="preserve">    Daniel Fernando da Silva</w:t>
      </w:r>
    </w:p>
    <w:p w14:paraId="603CD38A" w14:textId="57C3140D" w:rsidR="00076369" w:rsidRPr="00D16F99" w:rsidRDefault="00076369" w:rsidP="003E3962">
      <w:pPr>
        <w:pStyle w:val="SemEspaamento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 xml:space="preserve">                  Membro                                                                          </w:t>
      </w:r>
      <w:proofErr w:type="spellStart"/>
      <w:r w:rsidRPr="00D16F99">
        <w:rPr>
          <w:rFonts w:ascii="Arial" w:hAnsi="Arial" w:cs="Arial"/>
          <w:lang w:val="pt-BR"/>
        </w:rPr>
        <w:t>Membro</w:t>
      </w:r>
      <w:proofErr w:type="spellEnd"/>
    </w:p>
    <w:p w14:paraId="188C3CB0" w14:textId="77777777" w:rsidR="00076369" w:rsidRPr="00D16F99" w:rsidRDefault="00076369" w:rsidP="003E3962">
      <w:pPr>
        <w:pStyle w:val="SemEspaamento"/>
        <w:jc w:val="center"/>
        <w:rPr>
          <w:rFonts w:ascii="Arial" w:hAnsi="Arial" w:cs="Arial"/>
          <w:lang w:val="pt-BR"/>
        </w:rPr>
      </w:pPr>
    </w:p>
    <w:p w14:paraId="6DC11088" w14:textId="77777777" w:rsidR="00D16F99" w:rsidRDefault="00D16F99" w:rsidP="003E3962">
      <w:pPr>
        <w:pStyle w:val="SemEspaamento"/>
        <w:jc w:val="center"/>
        <w:rPr>
          <w:rFonts w:ascii="Arial" w:hAnsi="Arial" w:cs="Arial"/>
          <w:lang w:val="pt-BR"/>
        </w:rPr>
      </w:pPr>
    </w:p>
    <w:p w14:paraId="0E3894A2" w14:textId="77777777" w:rsidR="00D16F99" w:rsidRDefault="00D16F99" w:rsidP="003E3962">
      <w:pPr>
        <w:pStyle w:val="SemEspaamento"/>
        <w:jc w:val="center"/>
        <w:rPr>
          <w:rFonts w:ascii="Arial" w:hAnsi="Arial" w:cs="Arial"/>
          <w:lang w:val="pt-BR"/>
        </w:rPr>
      </w:pPr>
    </w:p>
    <w:p w14:paraId="57AFF55E" w14:textId="22A42553" w:rsidR="00076369" w:rsidRPr="00D16F99" w:rsidRDefault="00076369" w:rsidP="003E3962">
      <w:pPr>
        <w:pStyle w:val="SemEspaamento"/>
        <w:jc w:val="center"/>
        <w:rPr>
          <w:rFonts w:ascii="Arial" w:hAnsi="Arial" w:cs="Arial"/>
          <w:lang w:val="pt-BR"/>
        </w:rPr>
      </w:pPr>
      <w:r w:rsidRPr="00D16F99">
        <w:rPr>
          <w:rFonts w:ascii="Arial" w:hAnsi="Arial" w:cs="Arial"/>
          <w:lang w:val="pt-BR"/>
        </w:rPr>
        <w:t>Humberto Salvador Ferreira Lopes</w:t>
      </w:r>
    </w:p>
    <w:p w14:paraId="14650393" w14:textId="77777777" w:rsidR="00076369" w:rsidRPr="00D16F99" w:rsidRDefault="00076369" w:rsidP="003E3962">
      <w:pPr>
        <w:pStyle w:val="SemEspaamento"/>
        <w:jc w:val="center"/>
        <w:rPr>
          <w:rFonts w:ascii="Arial" w:hAnsi="Arial" w:cs="Arial"/>
        </w:rPr>
      </w:pPr>
      <w:r w:rsidRPr="00D16F99">
        <w:rPr>
          <w:rFonts w:ascii="Arial" w:hAnsi="Arial" w:cs="Arial"/>
          <w:lang w:val="pt-BR"/>
        </w:rPr>
        <w:t>Membro</w:t>
      </w:r>
      <w:r w:rsidRPr="00D16F99">
        <w:rPr>
          <w:rFonts w:ascii="Arial" w:hAnsi="Arial" w:cs="Arial"/>
        </w:rPr>
        <w:t xml:space="preserve"> </w:t>
      </w:r>
    </w:p>
    <w:bookmarkEnd w:id="0"/>
    <w:sectPr w:rsidR="00076369" w:rsidRPr="00D16F99" w:rsidSect="003E3962">
      <w:headerReference w:type="even" r:id="rId8"/>
      <w:headerReference w:type="default" r:id="rId9"/>
      <w:footerReference w:type="default" r:id="rId10"/>
      <w:headerReference w:type="first" r:id="rId11"/>
      <w:pgSz w:w="12176" w:h="16838"/>
      <w:pgMar w:top="1417" w:right="1403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47EF" w14:textId="77777777" w:rsidR="009B7211" w:rsidRPr="00660AAF" w:rsidRDefault="009B7211" w:rsidP="00AE38A1">
      <w:pPr>
        <w:spacing w:after="0" w:line="240" w:lineRule="auto"/>
      </w:pPr>
      <w:r w:rsidRPr="00660AAF">
        <w:separator/>
      </w:r>
    </w:p>
  </w:endnote>
  <w:endnote w:type="continuationSeparator" w:id="0">
    <w:p w14:paraId="7D7A0689" w14:textId="77777777" w:rsidR="009B7211" w:rsidRPr="00660AAF" w:rsidRDefault="009B7211" w:rsidP="00AE38A1">
      <w:pPr>
        <w:spacing w:after="0" w:line="240" w:lineRule="auto"/>
      </w:pPr>
      <w:r w:rsidRPr="00660A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5BDA" w14:textId="77777777" w:rsidR="00AC2144" w:rsidRPr="00660AAF" w:rsidRDefault="006B11D8" w:rsidP="006B11D8">
    <w:pPr>
      <w:jc w:val="center"/>
    </w:pPr>
    <w:r w:rsidRPr="00660AAF">
      <w:rPr>
        <w:rFonts w:cstheme="minorHAnsi"/>
        <w:b/>
        <w:color w:val="17365D" w:themeColor="text2" w:themeShade="BF"/>
        <w:sz w:val="20"/>
        <w:szCs w:val="20"/>
      </w:rPr>
      <w:br/>
    </w:r>
    <w:r w:rsidRPr="00660AAF"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D859" w14:textId="77777777" w:rsidR="009B7211" w:rsidRPr="00660AAF" w:rsidRDefault="009B7211" w:rsidP="00AE38A1">
      <w:pPr>
        <w:spacing w:after="0" w:line="240" w:lineRule="auto"/>
      </w:pPr>
      <w:r w:rsidRPr="00660AAF">
        <w:separator/>
      </w:r>
    </w:p>
  </w:footnote>
  <w:footnote w:type="continuationSeparator" w:id="0">
    <w:p w14:paraId="21C7CD01" w14:textId="77777777" w:rsidR="009B7211" w:rsidRPr="00660AAF" w:rsidRDefault="009B7211" w:rsidP="00AE38A1">
      <w:pPr>
        <w:spacing w:after="0" w:line="240" w:lineRule="auto"/>
      </w:pPr>
      <w:r w:rsidRPr="00660A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237C" w14:textId="77777777" w:rsidR="00AE38A1" w:rsidRPr="00660AAF" w:rsidRDefault="00F72490">
    <w:pPr>
      <w:pStyle w:val="Cabealho"/>
    </w:pPr>
    <w:r>
      <w:pict w14:anchorId="09AABE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1026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22C2" w14:textId="77777777" w:rsidR="00AE38A1" w:rsidRPr="00660AAF" w:rsidRDefault="00AC2144" w:rsidP="00AC2144">
    <w:pPr>
      <w:ind w:left="3119" w:hanging="425"/>
      <w:jc w:val="center"/>
      <w:rPr>
        <w:sz w:val="26"/>
        <w:szCs w:val="26"/>
      </w:rPr>
    </w:pPr>
    <w:bookmarkStart w:id="1" w:name="_Hlk126065799"/>
    <w:r w:rsidRPr="00660AAF">
      <w:rPr>
        <w:noProof/>
        <w:sz w:val="28"/>
        <w:szCs w:val="28"/>
        <w:lang w:eastAsia="pt-BR"/>
      </w:rPr>
      <w:drawing>
        <wp:anchor distT="0" distB="0" distL="114300" distR="114300" simplePos="0" relativeHeight="251658752" behindDoc="1" locked="0" layoutInCell="1" allowOverlap="1" wp14:anchorId="7666C4BE" wp14:editId="5F969A0B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202891078" name="Imagem 202891078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60AAF">
      <w:rPr>
        <w:b/>
        <w:sz w:val="28"/>
        <w:szCs w:val="28"/>
      </w:rPr>
      <w:t xml:space="preserve">     </w:t>
    </w:r>
    <w:r w:rsidRPr="00660AAF">
      <w:rPr>
        <w:b/>
        <w:i/>
        <w:iCs/>
        <w:sz w:val="26"/>
        <w:szCs w:val="26"/>
        <w:u w:val="single"/>
      </w:rPr>
      <w:t xml:space="preserve">INSTITUTO DE PREVIDÊNCIA DOS SERVIDORES PÚBLICOS   </w:t>
    </w:r>
    <w:r w:rsidRPr="00660AAF">
      <w:rPr>
        <w:b/>
        <w:i/>
        <w:iCs/>
        <w:sz w:val="26"/>
        <w:szCs w:val="26"/>
        <w:u w:val="single"/>
      </w:rPr>
      <w:br/>
      <w:t>DO MUNICÍPIO DE GUANHÃES</w:t>
    </w:r>
    <w:r w:rsidRPr="00660AAF">
      <w:rPr>
        <w:b/>
        <w:i/>
        <w:iCs/>
        <w:sz w:val="26"/>
        <w:szCs w:val="26"/>
      </w:rPr>
      <w:t>-</w:t>
    </w:r>
    <w:r w:rsidRPr="00660AAF">
      <w:rPr>
        <w:b/>
        <w:i/>
        <w:iCs/>
        <w:sz w:val="26"/>
        <w:szCs w:val="26"/>
        <w:u w:val="single"/>
      </w:rPr>
      <w:t>GUANHÃESPREV</w:t>
    </w:r>
    <w:r w:rsidRPr="00660AAF">
      <w:rPr>
        <w:b/>
        <w:i/>
        <w:iCs/>
        <w:sz w:val="26"/>
        <w:szCs w:val="26"/>
        <w:u w:val="single"/>
      </w:rPr>
      <w:br/>
      <w:t>CNPJ: 05.518.895/0001-74</w:t>
    </w:r>
    <w:bookmarkEnd w:id="1"/>
    <w:r w:rsidR="00F72490">
      <w:rPr>
        <w:sz w:val="26"/>
        <w:szCs w:val="26"/>
      </w:rPr>
      <w:pict w14:anchorId="2FA07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1027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6E8A" w14:textId="77777777" w:rsidR="00AE38A1" w:rsidRPr="00660AAF" w:rsidRDefault="00F72490">
    <w:pPr>
      <w:pStyle w:val="Cabealho"/>
    </w:pPr>
    <w:r>
      <w:pict w14:anchorId="3AE55D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1025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3B"/>
    <w:rsid w:val="00030786"/>
    <w:rsid w:val="00076369"/>
    <w:rsid w:val="000B5CE0"/>
    <w:rsid w:val="000D0CC5"/>
    <w:rsid w:val="000D53E0"/>
    <w:rsid w:val="000E3358"/>
    <w:rsid w:val="00172DFF"/>
    <w:rsid w:val="001B431C"/>
    <w:rsid w:val="001B5069"/>
    <w:rsid w:val="001E02C2"/>
    <w:rsid w:val="002B1AEE"/>
    <w:rsid w:val="002F3B54"/>
    <w:rsid w:val="00330475"/>
    <w:rsid w:val="003E0557"/>
    <w:rsid w:val="003E3962"/>
    <w:rsid w:val="003F6D65"/>
    <w:rsid w:val="004000D1"/>
    <w:rsid w:val="00425D76"/>
    <w:rsid w:val="00441214"/>
    <w:rsid w:val="004B4FFC"/>
    <w:rsid w:val="004C0962"/>
    <w:rsid w:val="004E4260"/>
    <w:rsid w:val="004E79D2"/>
    <w:rsid w:val="00545113"/>
    <w:rsid w:val="0057268E"/>
    <w:rsid w:val="00572B3B"/>
    <w:rsid w:val="005870CA"/>
    <w:rsid w:val="005B1CFB"/>
    <w:rsid w:val="005E5F49"/>
    <w:rsid w:val="005F3F22"/>
    <w:rsid w:val="00660AAF"/>
    <w:rsid w:val="0067285F"/>
    <w:rsid w:val="006B11D8"/>
    <w:rsid w:val="00702BA0"/>
    <w:rsid w:val="00753965"/>
    <w:rsid w:val="0076343C"/>
    <w:rsid w:val="007E24A2"/>
    <w:rsid w:val="007E76D8"/>
    <w:rsid w:val="00815898"/>
    <w:rsid w:val="00821E2B"/>
    <w:rsid w:val="008766CE"/>
    <w:rsid w:val="008B0983"/>
    <w:rsid w:val="008D0B50"/>
    <w:rsid w:val="008F28B9"/>
    <w:rsid w:val="00904BB9"/>
    <w:rsid w:val="00954710"/>
    <w:rsid w:val="00982FF5"/>
    <w:rsid w:val="009832CF"/>
    <w:rsid w:val="009A7CF4"/>
    <w:rsid w:val="009B7211"/>
    <w:rsid w:val="009D2F22"/>
    <w:rsid w:val="00A02893"/>
    <w:rsid w:val="00A77661"/>
    <w:rsid w:val="00AA6AC1"/>
    <w:rsid w:val="00AC2144"/>
    <w:rsid w:val="00AD7B05"/>
    <w:rsid w:val="00AE3618"/>
    <w:rsid w:val="00AE38A1"/>
    <w:rsid w:val="00B132A1"/>
    <w:rsid w:val="00B35FE0"/>
    <w:rsid w:val="00B47864"/>
    <w:rsid w:val="00B645FC"/>
    <w:rsid w:val="00BB062E"/>
    <w:rsid w:val="00BB2005"/>
    <w:rsid w:val="00BF77EC"/>
    <w:rsid w:val="00C31F2F"/>
    <w:rsid w:val="00C44F39"/>
    <w:rsid w:val="00C72B68"/>
    <w:rsid w:val="00CE5B13"/>
    <w:rsid w:val="00D16F99"/>
    <w:rsid w:val="00D25F84"/>
    <w:rsid w:val="00D33890"/>
    <w:rsid w:val="00D834D3"/>
    <w:rsid w:val="00E024BB"/>
    <w:rsid w:val="00E12E13"/>
    <w:rsid w:val="00E3768E"/>
    <w:rsid w:val="00EA4BB2"/>
    <w:rsid w:val="00EB508A"/>
    <w:rsid w:val="00EB74A7"/>
    <w:rsid w:val="00EC567C"/>
    <w:rsid w:val="00ED1652"/>
    <w:rsid w:val="00F11231"/>
    <w:rsid w:val="00F22050"/>
    <w:rsid w:val="00F72490"/>
    <w:rsid w:val="00FA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F02CA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styleId="MenoPendente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545113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2435-826A-465E-8D50-C39ACE9D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1093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Rosimeiry Procópio</cp:lastModifiedBy>
  <cp:revision>12</cp:revision>
  <cp:lastPrinted>2025-11-05T16:37:00Z</cp:lastPrinted>
  <dcterms:created xsi:type="dcterms:W3CDTF">2025-09-26T13:52:00Z</dcterms:created>
  <dcterms:modified xsi:type="dcterms:W3CDTF">2026-02-11T21:42:00Z</dcterms:modified>
</cp:coreProperties>
</file>